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44F3" w14:textId="48AC7F70" w:rsidR="00D01FE3" w:rsidRDefault="00D01FE3">
      <w:r>
        <w:t xml:space="preserve">Dear </w:t>
      </w:r>
      <w:r w:rsidR="006A30E8">
        <w:t>Councillor</w:t>
      </w:r>
    </w:p>
    <w:p w14:paraId="2883235A" w14:textId="59D36A5F" w:rsidR="00D01FE3" w:rsidRDefault="00D01FE3">
      <w:r>
        <w:t xml:space="preserve">Firstly may I take the opportunity to </w:t>
      </w:r>
      <w:proofErr w:type="gramStart"/>
      <w:r>
        <w:t xml:space="preserve">thank </w:t>
      </w:r>
      <w:r w:rsidR="002F015B">
        <w:t xml:space="preserve"> </w:t>
      </w:r>
      <w:proofErr w:type="spellStart"/>
      <w:r w:rsidR="002F015B">
        <w:t>XXX</w:t>
      </w:r>
      <w:r>
        <w:t>Town</w:t>
      </w:r>
      <w:proofErr w:type="spellEnd"/>
      <w:proofErr w:type="gramEnd"/>
      <w:r>
        <w:t xml:space="preserve"> Council for granting us permission to run our fundraising/outreach stalls in the market place.   The support we have had from local people has been overwhelming.</w:t>
      </w:r>
    </w:p>
    <w:p w14:paraId="49EFFDF3" w14:textId="72C208C6" w:rsidR="00D01FE3" w:rsidRDefault="00566015" w:rsidP="00D01FE3">
      <w:r>
        <w:t>I am</w:t>
      </w:r>
      <w:r w:rsidR="00D01FE3">
        <w:t xml:space="preserve">, however, writing to you to discuss the annual Boxing Day Meet of the </w:t>
      </w:r>
      <w:r w:rsidR="002F015B">
        <w:t>xxx</w:t>
      </w:r>
      <w:r w:rsidR="00D01FE3">
        <w:t xml:space="preserve"> Hunt in </w:t>
      </w:r>
      <w:proofErr w:type="spellStart"/>
      <w:r w:rsidR="002F015B">
        <w:t>Xxx</w:t>
      </w:r>
      <w:proofErr w:type="spellEnd"/>
      <w:r w:rsidR="00D01FE3">
        <w:t>.  When we raised this last year we were informed that this would be made an agenda item in the New Year and we would be afforded the opportunity to make a presentation.  This was then pushed back to after the elections and now we’ve been informed it isn’t going to happen.  Therefore, as we now have responses back from our Freedom of Information requests, I thought it would be a good idea to write to you</w:t>
      </w:r>
      <w:r>
        <w:t xml:space="preserve"> about this matter.  Please note, I do not intend to discuss the morality of the vile practice of fox hunting, I will simply address legal and safety issues.</w:t>
      </w:r>
    </w:p>
    <w:p w14:paraId="16EE2D58" w14:textId="18D79962" w:rsidR="004319A6" w:rsidRDefault="004319A6" w:rsidP="00D01FE3">
      <w:r>
        <w:t xml:space="preserve">I fully understand that </w:t>
      </w:r>
      <w:r w:rsidR="002F015B">
        <w:t xml:space="preserve">XXX </w:t>
      </w:r>
      <w:r>
        <w:t>Town Council has no legal authority regarding road closures and that this is addressed by the County Council.  I also understand that the District Council deals with some other aspects (</w:t>
      </w:r>
      <w:proofErr w:type="spellStart"/>
      <w:r>
        <w:t>eg</w:t>
      </w:r>
      <w:proofErr w:type="spellEnd"/>
      <w:r>
        <w:t xml:space="preserve"> licences for street collections) however the Town Council does have the capacity to make recommendations to these bodies and also does have a responsibility for the health and safety of users of council land – for example the cobbled market place area.</w:t>
      </w:r>
    </w:p>
    <w:p w14:paraId="4A4E492F" w14:textId="77777777" w:rsidR="004319A6" w:rsidRDefault="004319A6" w:rsidP="00D01FE3">
      <w:r>
        <w:t>I will address all of these issues with the aim of providing a full picture.</w:t>
      </w:r>
      <w:r w:rsidR="00E27B88">
        <w:t xml:space="preserve">  Please bear with me.</w:t>
      </w:r>
    </w:p>
    <w:p w14:paraId="385A5D1A" w14:textId="77777777" w:rsidR="004319A6" w:rsidRDefault="004319A6" w:rsidP="00D01FE3"/>
    <w:p w14:paraId="7DB27DCA" w14:textId="77777777" w:rsidR="004319A6" w:rsidRDefault="004319A6" w:rsidP="00D01FE3">
      <w:r>
        <w:rPr>
          <w:b/>
        </w:rPr>
        <w:t>Road Closures</w:t>
      </w:r>
    </w:p>
    <w:p w14:paraId="4390BC4C" w14:textId="77777777" w:rsidR="004319A6" w:rsidRDefault="004319A6" w:rsidP="00D01FE3">
      <w:r>
        <w:t>As stated, I am fully aware that North Yorkshire County Council (NYCC) Highways Department i</w:t>
      </w:r>
      <w:r w:rsidR="00EF51DF">
        <w:t xml:space="preserve">s responsible for road closures, but this is still relevant to the Town Council, as I will show.  Section 130 of the Highways Act 1980 provides that it is the </w:t>
      </w:r>
      <w:r w:rsidR="00EF51DF">
        <w:rPr>
          <w:b/>
        </w:rPr>
        <w:t xml:space="preserve">duty </w:t>
      </w:r>
      <w:r w:rsidR="00EF51DF">
        <w:t xml:space="preserve">of the Highway Authority to observe and protect the rights of the public in the use and enjoyment of any highway for which they are the Highway Authority.  It is also their </w:t>
      </w:r>
      <w:r w:rsidR="00EF51DF">
        <w:rPr>
          <w:b/>
        </w:rPr>
        <w:t>duty</w:t>
      </w:r>
      <w:r w:rsidR="00EF51DF">
        <w:t xml:space="preserve"> to prevent ‘stopping up or obstruction’ of the highway.  Additionally </w:t>
      </w:r>
      <w:r w:rsidR="00EF51DF">
        <w:rPr>
          <w:b/>
        </w:rPr>
        <w:t xml:space="preserve">any council </w:t>
      </w:r>
      <w:r w:rsidR="00EF51DF">
        <w:t xml:space="preserve">(Parish, Town, District or Council) may also assert and protect the rights of the public to the use and enjoyment of the highway.  </w:t>
      </w:r>
      <w:proofErr w:type="gramStart"/>
      <w:r w:rsidR="00EF51DF">
        <w:t>i.e.</w:t>
      </w:r>
      <w:proofErr w:type="gramEnd"/>
      <w:r w:rsidR="00EF51DF">
        <w:t xml:space="preserve"> the council responsible for the highway MUST protect those rights.  Any of the other councils (</w:t>
      </w:r>
      <w:r w:rsidR="00EF51DF">
        <w:rPr>
          <w:i/>
        </w:rPr>
        <w:t>including Town Councils</w:t>
      </w:r>
      <w:r w:rsidR="00EF51DF">
        <w:t>) CAN choose to protect those rights.</w:t>
      </w:r>
    </w:p>
    <w:p w14:paraId="22948AA6" w14:textId="77777777" w:rsidR="004319A6" w:rsidRDefault="00EF51DF" w:rsidP="00D01FE3">
      <w:r>
        <w:t>For the Boxing Day Meet the Hunt should therefore be applying for road closures.  There are two types of road closure</w:t>
      </w:r>
    </w:p>
    <w:p w14:paraId="3797D061" w14:textId="77777777" w:rsidR="00EF51DF" w:rsidRDefault="00EF51DF" w:rsidP="00EF51DF">
      <w:pPr>
        <w:pStyle w:val="ListParagraph"/>
        <w:numPr>
          <w:ilvl w:val="0"/>
          <w:numId w:val="1"/>
        </w:numPr>
      </w:pPr>
      <w:r>
        <w:t>The Town, Police and Clauses Act of 1847.  This stems from a time when cars didn’t exist.  The powers under a TPCA are limited to the ability ‘to make orders for a route to be observed’ by traffic.  They can do no more than direct traffic along a route where traffic is already permitted</w:t>
      </w:r>
    </w:p>
    <w:p w14:paraId="5621FD6B" w14:textId="77777777" w:rsidR="00EF51DF" w:rsidRDefault="00EF51DF" w:rsidP="009F40E5">
      <w:pPr>
        <w:pStyle w:val="ListParagraph"/>
        <w:numPr>
          <w:ilvl w:val="0"/>
          <w:numId w:val="1"/>
        </w:numPr>
      </w:pPr>
      <w:r>
        <w:t xml:space="preserve">A Temporary Traffic Regulation Order (TTRO) under the Road Traffic Regulation Act 1994.  </w:t>
      </w:r>
      <w:r w:rsidR="00954787" w:rsidRPr="00954787">
        <w:t>Section 16A of the RTRA gives local authorities powers to make orders (including TTROs) to close or restrict access to roads in order to facilitate, to allow members of the public to attend, or to reduce traffic disruption as a result of a relevant event.</w:t>
      </w:r>
      <w:r w:rsidR="00954787">
        <w:t xml:space="preserve"> </w:t>
      </w:r>
      <w:r w:rsidR="00954787" w:rsidRPr="00954787">
        <w:t>A relevant event is defined as “Any sporting event, social event, or entertainment which is held on a road”</w:t>
      </w:r>
      <w:r w:rsidR="00954787">
        <w:t xml:space="preserve"> </w:t>
      </w:r>
      <w:r>
        <w:t xml:space="preserve">Many councils are starting to recognise that a TTRO is far more applicable in this case.  </w:t>
      </w:r>
      <w:r w:rsidR="00954787">
        <w:t xml:space="preserve">TTROs ensure that professional safety advisers apply suitable </w:t>
      </w:r>
      <w:r w:rsidR="00D02CF5">
        <w:t>scrutiny that</w:t>
      </w:r>
      <w:r w:rsidR="00954787">
        <w:t xml:space="preserve"> all the public are protected </w:t>
      </w:r>
      <w:r w:rsidR="00954787" w:rsidRPr="00954787">
        <w:rPr>
          <w:i/>
        </w:rPr>
        <w:t>and that liability for the event is strictly held with the hunt.</w:t>
      </w:r>
    </w:p>
    <w:p w14:paraId="7103C616" w14:textId="77777777" w:rsidR="008757B9" w:rsidRDefault="008757B9" w:rsidP="008757B9">
      <w:r>
        <w:lastRenderedPageBreak/>
        <w:t xml:space="preserve">Please note that Freedom of Information responses from North Yorkshire County Council (NYCC) and Hambleton District Council (HDC) indicate that </w:t>
      </w:r>
    </w:p>
    <w:p w14:paraId="38D3407D" w14:textId="77777777" w:rsidR="008757B9" w:rsidRDefault="008757B9" w:rsidP="008757B9">
      <w:pPr>
        <w:pStyle w:val="ListParagraph"/>
        <w:numPr>
          <w:ilvl w:val="0"/>
          <w:numId w:val="2"/>
        </w:numPr>
      </w:pPr>
      <w:r>
        <w:t xml:space="preserve">The hunt did </w:t>
      </w:r>
      <w:r>
        <w:rPr>
          <w:i/>
        </w:rPr>
        <w:t xml:space="preserve">not </w:t>
      </w:r>
      <w:r>
        <w:t xml:space="preserve"> seek permission for the event</w:t>
      </w:r>
    </w:p>
    <w:p w14:paraId="1B5DD70D" w14:textId="77777777" w:rsidR="008757B9" w:rsidRDefault="008757B9" w:rsidP="008757B9">
      <w:pPr>
        <w:pStyle w:val="ListParagraph"/>
        <w:numPr>
          <w:ilvl w:val="0"/>
          <w:numId w:val="2"/>
        </w:numPr>
      </w:pPr>
      <w:r>
        <w:t>The hunt were contacted by the Safety Advisory Group</w:t>
      </w:r>
      <w:r w:rsidR="00211D4D">
        <w:t xml:space="preserve"> (SAG)</w:t>
      </w:r>
      <w:r>
        <w:t xml:space="preserve"> but </w:t>
      </w:r>
    </w:p>
    <w:p w14:paraId="7A0FC6D1" w14:textId="77777777" w:rsidR="008757B9" w:rsidRDefault="008757B9" w:rsidP="008757B9">
      <w:pPr>
        <w:pStyle w:val="ListParagraph"/>
        <w:numPr>
          <w:ilvl w:val="0"/>
          <w:numId w:val="2"/>
        </w:numPr>
      </w:pPr>
      <w:r>
        <w:t xml:space="preserve">Did </w:t>
      </w:r>
      <w:r>
        <w:rPr>
          <w:i/>
        </w:rPr>
        <w:t xml:space="preserve">not </w:t>
      </w:r>
      <w:r>
        <w:t>apply for a road closure, nor did they submit any risk assessments or proof of public liability insurance</w:t>
      </w:r>
    </w:p>
    <w:p w14:paraId="4A4B2980" w14:textId="713D360E" w:rsidR="000C59A4" w:rsidRDefault="008757B9" w:rsidP="008757B9">
      <w:r>
        <w:t>It is our understanding that in the past 2487 (</w:t>
      </w:r>
      <w:proofErr w:type="spellStart"/>
      <w:r w:rsidR="002F015B">
        <w:t>Xxx</w:t>
      </w:r>
      <w:proofErr w:type="spellEnd"/>
      <w:r>
        <w:t>) Air Cadet Squadron had to apply for a TTRO for their 50</w:t>
      </w:r>
      <w:r w:rsidRPr="008757B9">
        <w:rPr>
          <w:vertAlign w:val="superscript"/>
        </w:rPr>
        <w:t>th</w:t>
      </w:r>
      <w:r>
        <w:t xml:space="preserve"> anniversary parade and that </w:t>
      </w:r>
      <w:r w:rsidR="000C59A4">
        <w:t>a proposed junior bike ride had to go through a similar procedure.  This begs the question as to how the hunt manage to avoid these requirements and no action is taken.</w:t>
      </w:r>
    </w:p>
    <w:p w14:paraId="4083EACB" w14:textId="77777777" w:rsidR="000C59A4" w:rsidRPr="000C59A4" w:rsidRDefault="000C59A4" w:rsidP="008757B9">
      <w:r>
        <w:t>It is worth noting that i</w:t>
      </w:r>
      <w:r w:rsidR="00143282">
        <w:t>f</w:t>
      </w:r>
      <w:r>
        <w:t xml:space="preserve"> a parish council or other community council informs the highway authority that there has been an obstruction on a highway on which that highway is responsible for preventing obstruction, then </w:t>
      </w:r>
      <w:r>
        <w:rPr>
          <w:i/>
        </w:rPr>
        <w:t xml:space="preserve">that highway authority has a </w:t>
      </w:r>
      <w:r>
        <w:rPr>
          <w:b/>
          <w:i/>
        </w:rPr>
        <w:t>duty</w:t>
      </w:r>
      <w:r>
        <w:t xml:space="preserve"> to instigate proceedings against the obstructor.  The Highways Act imposes a number of duties on councils and Highway </w:t>
      </w:r>
      <w:proofErr w:type="gramStart"/>
      <w:r>
        <w:t>Authorities  -</w:t>
      </w:r>
      <w:proofErr w:type="gramEnd"/>
      <w:r>
        <w:t xml:space="preserve"> </w:t>
      </w:r>
      <w:proofErr w:type="spellStart"/>
      <w:r>
        <w:t>ie</w:t>
      </w:r>
      <w:proofErr w:type="spellEnd"/>
      <w:r>
        <w:t xml:space="preserve"> they have a </w:t>
      </w:r>
      <w:r>
        <w:rPr>
          <w:b/>
        </w:rPr>
        <w:t xml:space="preserve">legal obligation </w:t>
      </w:r>
      <w:r>
        <w:t>to take action.</w:t>
      </w:r>
    </w:p>
    <w:p w14:paraId="1FD338AD" w14:textId="77777777" w:rsidR="000C59A4" w:rsidRDefault="000C59A4" w:rsidP="008757B9"/>
    <w:p w14:paraId="053210E7" w14:textId="77777777" w:rsidR="000C59A4" w:rsidRPr="000C59A4" w:rsidRDefault="000C59A4" w:rsidP="008757B9">
      <w:pPr>
        <w:rPr>
          <w:b/>
        </w:rPr>
      </w:pPr>
      <w:r w:rsidRPr="000C59A4">
        <w:rPr>
          <w:b/>
        </w:rPr>
        <w:t>Public Safety</w:t>
      </w:r>
    </w:p>
    <w:p w14:paraId="6CBF2F67" w14:textId="101B3E65" w:rsidR="00211D4D" w:rsidRDefault="00211D4D" w:rsidP="008757B9">
      <w:r>
        <w:t xml:space="preserve">Whilst we do understand that </w:t>
      </w:r>
      <w:r w:rsidR="002F015B">
        <w:t>XXX</w:t>
      </w:r>
      <w:r w:rsidR="000872C2">
        <w:t xml:space="preserve"> </w:t>
      </w:r>
      <w:r>
        <w:t xml:space="preserve">Town Council does not control the road itself, it is worth noting that the hunt </w:t>
      </w:r>
      <w:proofErr w:type="gramStart"/>
      <w:r>
        <w:t>were</w:t>
      </w:r>
      <w:proofErr w:type="gramEnd"/>
      <w:r>
        <w:t xml:space="preserve"> also on the cobbled market area.  Councils have a responsibility to ensure the safety of users of that area so we should explore the issues of public safety in this area.</w:t>
      </w:r>
      <w:r w:rsidR="006A30E8">
        <w:t xml:space="preserve"> </w:t>
      </w:r>
    </w:p>
    <w:p w14:paraId="7D8A792D" w14:textId="6019B413" w:rsidR="00211D4D" w:rsidRDefault="002F015B" w:rsidP="008757B9">
      <w:proofErr w:type="spellStart"/>
      <w:r>
        <w:t>Xxx</w:t>
      </w:r>
      <w:proofErr w:type="spellEnd"/>
      <w:r w:rsidR="00211D4D">
        <w:t xml:space="preserve"> Hunt are a limited company</w:t>
      </w:r>
      <w:r w:rsidR="00143282">
        <w:rPr>
          <w:rStyle w:val="FootnoteReference"/>
        </w:rPr>
        <w:footnoteReference w:id="1"/>
      </w:r>
      <w:r w:rsidR="00211D4D">
        <w:t xml:space="preserve"> </w:t>
      </w:r>
      <w:r w:rsidR="00AD6C66">
        <w:t>and, as such, are subject to the Health and Safety at Work etc ACT 197</w:t>
      </w:r>
      <w:r w:rsidR="00151548" w:rsidRPr="002F015B">
        <w:t>4</w:t>
      </w:r>
      <w:r w:rsidR="00AD6C66">
        <w:t xml:space="preserve"> (HSWA). The HSWA provides that ‘it shall be the duty of every employer to conduct his undertaking in such a way as to ensure, so far as is reasonably practical, </w:t>
      </w:r>
      <w:r w:rsidR="00AD6C66">
        <w:rPr>
          <w:i/>
        </w:rPr>
        <w:t xml:space="preserve">that persons </w:t>
      </w:r>
      <w:r w:rsidR="00AD6C66">
        <w:rPr>
          <w:b/>
          <w:i/>
        </w:rPr>
        <w:t xml:space="preserve">not </w:t>
      </w:r>
      <w:r w:rsidR="00AD6C66">
        <w:rPr>
          <w:i/>
        </w:rPr>
        <w:t>in this employment who may be affected thereby are not thereby exposed to risks to their health or safety</w:t>
      </w:r>
      <w:r w:rsidR="00AD6C66">
        <w:t xml:space="preserve">.’  The Management of Health and Safety at Work Regulations 1999 (MHSW regulations) create further requirements including </w:t>
      </w:r>
    </w:p>
    <w:p w14:paraId="4457AFCE" w14:textId="77777777" w:rsidR="00AD6C66" w:rsidRDefault="00AD6C66" w:rsidP="00AD6C66">
      <w:pPr>
        <w:pStyle w:val="ListParagraph"/>
        <w:numPr>
          <w:ilvl w:val="0"/>
          <w:numId w:val="3"/>
        </w:numPr>
      </w:pPr>
      <w:r>
        <w:t>The requirement to assess risks to members of the public arising out of or in connection with the conduct of the organisation (</w:t>
      </w:r>
      <w:proofErr w:type="spellStart"/>
      <w:r>
        <w:t>ie</w:t>
      </w:r>
      <w:proofErr w:type="spellEnd"/>
      <w:r>
        <w:t xml:space="preserve"> a requirement to do risk assessments)</w:t>
      </w:r>
    </w:p>
    <w:p w14:paraId="7300406F" w14:textId="77777777" w:rsidR="00AD6C66" w:rsidRDefault="00AD6C66" w:rsidP="00AD6C66">
      <w:pPr>
        <w:pStyle w:val="ListParagraph"/>
        <w:numPr>
          <w:ilvl w:val="0"/>
          <w:numId w:val="3"/>
        </w:numPr>
      </w:pPr>
      <w:r>
        <w:t>The requirement to make and give effect to appropriate measures for the effective planning, control, monitoring and review of preventative and protective measures.</w:t>
      </w:r>
    </w:p>
    <w:p w14:paraId="6BB4D0EB" w14:textId="77777777" w:rsidR="00AD6C66" w:rsidRPr="00AD6C66" w:rsidRDefault="00AD6C66" w:rsidP="00AD6C66">
      <w:pPr>
        <w:pStyle w:val="ListParagraph"/>
        <w:numPr>
          <w:ilvl w:val="0"/>
          <w:numId w:val="3"/>
        </w:numPr>
      </w:pPr>
      <w:r>
        <w:t>The requirement to appoint at least one competent person to undertake the necessary health and safety measures.</w:t>
      </w:r>
    </w:p>
    <w:p w14:paraId="12BFA51C" w14:textId="77777777" w:rsidR="00211D4D" w:rsidRDefault="00211D4D" w:rsidP="008757B9">
      <w:r>
        <w:t>As has already been noted, the hunt were contacted by the HDC SAG and informed of their responsibilities but they clearly ignored them as there were no safety measures in place apart from some barriers to corral the hunt dogs</w:t>
      </w:r>
      <w:r w:rsidR="00AD6C66">
        <w:t xml:space="preserve"> and no risk assessment was submitted</w:t>
      </w:r>
      <w:r>
        <w:t xml:space="preserve">.   </w:t>
      </w:r>
    </w:p>
    <w:p w14:paraId="5D2DDFA3" w14:textId="296263D2" w:rsidR="00AD6C66" w:rsidRPr="00125CF9" w:rsidRDefault="00AD6C66" w:rsidP="008757B9">
      <w:r>
        <w:t xml:space="preserve">The hunt meet is an equine event.  Equine events are by definition high risk.  We refer to one incident where a lone protestor who was not linked to </w:t>
      </w:r>
      <w:r w:rsidR="002F015B">
        <w:t xml:space="preserve">XXX </w:t>
      </w:r>
      <w:r>
        <w:t>Against Foxhunting in any way, waved a placard near a horse</w:t>
      </w:r>
      <w:r w:rsidR="00125CF9">
        <w:t xml:space="preserve">.  The horse reacted and this initiated a massive online backlash by hunt supporters who loudly and repeatedly pointed out how highly strung these large animals are and </w:t>
      </w:r>
      <w:r w:rsidR="00125CF9">
        <w:lastRenderedPageBreak/>
        <w:t xml:space="preserve">how easily they are startled and ‘spooked.’   This begs the question – if these large animals are so easily startled </w:t>
      </w:r>
      <w:r w:rsidR="00125CF9">
        <w:rPr>
          <w:i/>
        </w:rPr>
        <w:t xml:space="preserve">why are they being brought to an event among small children, noise, dogs and crowds?  </w:t>
      </w:r>
      <w:r w:rsidR="00125CF9">
        <w:t>Horses are walked and ridden very close to members of the public and there is very real concern that the horses could spook in such a large crowd and cause injury.</w:t>
      </w:r>
    </w:p>
    <w:p w14:paraId="43E96075" w14:textId="77777777" w:rsidR="00125CF9" w:rsidRDefault="00125CF9" w:rsidP="008757B9">
      <w:r>
        <w:t xml:space="preserve">Indeed, at least one of the horses was wearing a red ribbon in its tail. The red ribbon is effectively a warning that the horse is a ‘kicker.’  This particular horse clearly did not want to be there and on several occasions another member of the hunt had to physically lead the horse back into the crowd.  At this point it is worth noting that under the Animals Act 1972 (the AA) a keeper of an animal which causes damage is liable for that damage if </w:t>
      </w:r>
      <w:r>
        <w:rPr>
          <w:i/>
        </w:rPr>
        <w:t xml:space="preserve">the keeper of the horse was aware of those behaviours or characteristics, </w:t>
      </w:r>
      <w:r>
        <w:t>in other words, the rider knew that the horse might behave aggressively or defensively.  It can be argued that by tying the red ribbon into a horse’s tail the rider knows that there is a clear risk of that horse kicking out.  Again, it begs the question as to what that horse was doing at a public event with crowds, dogs and children.</w:t>
      </w:r>
    </w:p>
    <w:p w14:paraId="6B264616" w14:textId="644A3CDE" w:rsidR="00125CF9" w:rsidRPr="00125CF9" w:rsidRDefault="00125CF9" w:rsidP="002F31A7">
      <w:r>
        <w:t xml:space="preserve">When considering public safety we also need to consider the hunt dogs.  We refer to the case of Mini the cat who sadly was </w:t>
      </w:r>
      <w:r w:rsidR="003B0F82">
        <w:t>brutally killed</w:t>
      </w:r>
      <w:r w:rsidR="002F31A7">
        <w:t xml:space="preserve"> in March 2021</w:t>
      </w:r>
      <w:r w:rsidR="003B0F82">
        <w:t xml:space="preserve"> by out of control hunt dogs on her own doorstep in a residential area.  This resulted in a successful prosecution</w:t>
      </w:r>
      <w:r w:rsidR="002F31A7">
        <w:t xml:space="preserve"> under the Dangerous Dogs Act</w:t>
      </w:r>
      <w:r w:rsidR="003B0F82">
        <w:t xml:space="preserve"> </w:t>
      </w:r>
      <w:r w:rsidR="002F31A7">
        <w:t xml:space="preserve">of </w:t>
      </w:r>
      <w:proofErr w:type="spellStart"/>
      <w:r w:rsidR="002F31A7">
        <w:t>huntmaster</w:t>
      </w:r>
      <w:proofErr w:type="spellEnd"/>
      <w:r w:rsidR="002F31A7">
        <w:t xml:space="preserve"> John Sampson </w:t>
      </w:r>
      <w:r w:rsidR="003B0F82">
        <w:t xml:space="preserve">that was subsequently appealed.  When the </w:t>
      </w:r>
      <w:r w:rsidR="002F31A7">
        <w:t xml:space="preserve">appeal was unsuccessful the judge </w:t>
      </w:r>
      <w:r w:rsidR="003C1B5F">
        <w:t>mentioned</w:t>
      </w:r>
      <w:r w:rsidR="002F31A7">
        <w:t xml:space="preserve"> in the </w:t>
      </w:r>
      <w:r w:rsidR="003C1B5F">
        <w:t xml:space="preserve">summing up </w:t>
      </w:r>
      <w:proofErr w:type="gramStart"/>
      <w:r w:rsidR="003C1B5F">
        <w:t>that</w:t>
      </w:r>
      <w:r w:rsidR="002F31A7">
        <w:t xml:space="preserve">  </w:t>
      </w:r>
      <w:r w:rsidR="002F31A7" w:rsidRPr="003C1B5F">
        <w:t>the</w:t>
      </w:r>
      <w:proofErr w:type="gramEnd"/>
      <w:r w:rsidR="002F31A7" w:rsidRPr="003C1B5F">
        <w:t xml:space="preserve"> fact they weren’t on leads and ran out of control as a pack makes them a danger!</w:t>
      </w:r>
    </w:p>
    <w:p w14:paraId="365BB52D" w14:textId="77777777" w:rsidR="000C59A4" w:rsidRDefault="000C59A4" w:rsidP="008757B9"/>
    <w:p w14:paraId="77424A7F" w14:textId="77777777" w:rsidR="000C59A4" w:rsidRDefault="000C59A4" w:rsidP="008757B9">
      <w:r>
        <w:rPr>
          <w:b/>
        </w:rPr>
        <w:t>Public Health</w:t>
      </w:r>
    </w:p>
    <w:p w14:paraId="4530F175" w14:textId="77777777" w:rsidR="000C59A4" w:rsidRDefault="003C1B5F" w:rsidP="008757B9">
      <w:r>
        <w:t>Public health is obviously part of the Health and Safety and is clearly part of the Councils’ duties to ensure public health.  There are two main aspects to explore here:</w:t>
      </w:r>
    </w:p>
    <w:p w14:paraId="01ABF125" w14:textId="77777777" w:rsidR="003C1B5F" w:rsidRDefault="003C1B5F" w:rsidP="008757B9">
      <w:r>
        <w:rPr>
          <w:b/>
        </w:rPr>
        <w:t>Covid</w:t>
      </w:r>
      <w:r>
        <w:t xml:space="preserve"> – Covid 19 was still a risk when the hunt held their meet on Dec 27.  It is worth noting that the HDC SAG sent an email reminding the hunt of their responsibilities and included &lt;&lt;</w:t>
      </w:r>
      <w:r w:rsidRPr="003C1B5F">
        <w:t xml:space="preserve"> we would like to remind you of </w:t>
      </w:r>
      <w:r w:rsidR="002600C0" w:rsidRPr="003C1B5F">
        <w:t>your</w:t>
      </w:r>
      <w:r w:rsidR="002600C0">
        <w:t xml:space="preserve"> responsibilities</w:t>
      </w:r>
      <w:r w:rsidRPr="003C1B5F">
        <w:t>, in particularly with regard to Health and Safety, Covid</w:t>
      </w:r>
      <w:r>
        <w:t xml:space="preserve"> </w:t>
      </w:r>
      <w:r w:rsidRPr="003C1B5F">
        <w:t xml:space="preserve">and road safety.  To fulfil these </w:t>
      </w:r>
      <w:proofErr w:type="gramStart"/>
      <w:r w:rsidRPr="003C1B5F">
        <w:t>responsibilities</w:t>
      </w:r>
      <w:proofErr w:type="gramEnd"/>
      <w:r w:rsidRPr="003C1B5F">
        <w:t xml:space="preserve"> you must ensure that</w:t>
      </w:r>
      <w:r>
        <w:t xml:space="preserve"> </w:t>
      </w:r>
      <w:r w:rsidRPr="003C1B5F">
        <w:t>your plans and risk assessments are suitable and sufficient and include</w:t>
      </w:r>
      <w:r>
        <w:t xml:space="preserve"> </w:t>
      </w:r>
      <w:r w:rsidRPr="003C1B5F">
        <w:t>arrangements for Covid secure measures.&gt;&gt;</w:t>
      </w:r>
    </w:p>
    <w:p w14:paraId="3C4ED18A" w14:textId="77777777" w:rsidR="003C1B5F" w:rsidRDefault="003C1B5F" w:rsidP="008757B9">
      <w:r>
        <w:t>As has already been noted – the hunt clearly ignored the advice about road safety (they didn’t apply for a road closure and submitted no risk assessments) and they clearly ignored the advice about Covid measures as there were simply no precautions in place at all.</w:t>
      </w:r>
    </w:p>
    <w:p w14:paraId="36C95E59" w14:textId="77777777" w:rsidR="002600C0" w:rsidRDefault="003C1B5F" w:rsidP="002600C0">
      <w:pPr>
        <w:spacing w:before="100" w:beforeAutospacing="1" w:after="100" w:afterAutospacing="1"/>
      </w:pPr>
      <w:r>
        <w:rPr>
          <w:b/>
        </w:rPr>
        <w:t xml:space="preserve">Bio-security - </w:t>
      </w:r>
      <w:r w:rsidR="002600C0">
        <w:t>We warned in advance of the meet on Dec 27th that the hunt would have no sanitisation facilities in place or take any precautions against the transfer of zoonotic disease.  This was exactly what happened and we saw adults and children petting and interacting with the dogs. </w:t>
      </w:r>
    </w:p>
    <w:p w14:paraId="66354430" w14:textId="77777777" w:rsidR="002600C0" w:rsidRDefault="002600C0" w:rsidP="002600C0">
      <w:pPr>
        <w:spacing w:before="100" w:beforeAutospacing="1" w:after="100" w:afterAutospacing="1"/>
      </w:pPr>
      <w:r>
        <w:t>It is important to note that hunt dogs are generally fed a raw meat diet from fallen stock.  The hunts provide a ‘flesh run’ to collect fallen stock from farms.  This provides food for the dogs and means farmers have a cheaper solution for the removal of dead animals.</w:t>
      </w:r>
    </w:p>
    <w:p w14:paraId="2485C6B2" w14:textId="3E9C4036" w:rsidR="002600C0" w:rsidRDefault="002600C0" w:rsidP="002600C0">
      <w:pPr>
        <w:spacing w:before="100" w:beforeAutospacing="1" w:after="100" w:afterAutospacing="1"/>
      </w:pPr>
      <w:r>
        <w:t xml:space="preserve">Even pets fed a DEFRA-approved raw meat diet </w:t>
      </w:r>
      <w:r w:rsidR="000E2119">
        <w:t xml:space="preserve">can </w:t>
      </w:r>
      <w:r>
        <w:t xml:space="preserve">have far higher incidences of bacteria and parasites. Raw meat diets can be contaminated with bacteria, including Salmonella, E coli, Listeria, Clostridium, and Campylobacter. We know animals eating raw meat diets are more likely to shed a variety of potentially disease- causing bacteria (Joffe et al, 2002; Finley et al, 2007). Of even greater </w:t>
      </w:r>
      <w:r>
        <w:lastRenderedPageBreak/>
        <w:t xml:space="preserve">concern is the issue of antibiotic resistance. A study found that 21% of all raw meat diets sampled were contaminated with Salmonella and that these bacteria showed resistance to 75% of the antibiotics tested.   Raw meat feeding has been linked to higher rates of shedding highly drug resistant E. coli.  </w:t>
      </w:r>
    </w:p>
    <w:p w14:paraId="3B246BAA" w14:textId="77777777" w:rsidR="002600C0" w:rsidRDefault="002600C0" w:rsidP="002600C0">
      <w:pPr>
        <w:spacing w:before="100" w:beforeAutospacing="1" w:after="100" w:afterAutospacing="1"/>
      </w:pPr>
      <w:r>
        <w:t xml:space="preserve">As well as the bacteria risk there is the risk of parasites – raw feeding can transmit parasites to pets. The parasites include tapeworms (Echinococcus </w:t>
      </w:r>
      <w:proofErr w:type="spellStart"/>
      <w:r>
        <w:t>granulosus</w:t>
      </w:r>
      <w:proofErr w:type="spellEnd"/>
      <w:r>
        <w:t xml:space="preserve"> and Taenia species) and various cyst forming Protozoa. These parasites can cause disease in our pets, but also in people, pets and livestock</w:t>
      </w:r>
    </w:p>
    <w:p w14:paraId="7F4319CB" w14:textId="77777777" w:rsidR="002600C0" w:rsidRDefault="002600C0" w:rsidP="002600C0">
      <w:pPr>
        <w:spacing w:before="100" w:beforeAutospacing="1" w:after="100" w:afterAutospacing="1"/>
      </w:pPr>
      <w:r>
        <w:t xml:space="preserve">Please note that the above dangers are present in raw foods produced under strict DEFRA requirements. Fallen stock can carry far nastier diseases and parasites and </w:t>
      </w:r>
      <w:r w:rsidR="000E2119">
        <w:t>recently</w:t>
      </w:r>
      <w:r>
        <w:t xml:space="preserve"> ITV </w:t>
      </w:r>
      <w:r w:rsidR="000E2119">
        <w:t>ran</w:t>
      </w:r>
      <w:r>
        <w:t xml:space="preserve"> a disturbing national exposé of this very issue.  &lt;&lt; Cows, sheep, hounds, partridges, ponies and foxes all end-up in skips. These bins, overflowing with animal body parts, are deemed to be of the highest risk to humans and animals yet the covert filming shows them left open to the elements.</w:t>
      </w:r>
    </w:p>
    <w:p w14:paraId="4C41740F" w14:textId="77777777" w:rsidR="002600C0" w:rsidRDefault="002600C0" w:rsidP="002600C0">
      <w:pPr>
        <w:spacing w:before="100" w:beforeAutospacing="1" w:after="100" w:afterAutospacing="1"/>
      </w:pPr>
      <w:r>
        <w:t>Hidden cameras at five sites in England and Wales revealed hazardous waste exposed at all of them, satellite image analysis suggests there could be dozens more.</w:t>
      </w:r>
    </w:p>
    <w:p w14:paraId="060E5246" w14:textId="77777777" w:rsidR="000E2119" w:rsidRDefault="002600C0" w:rsidP="002600C0">
      <w:pPr>
        <w:spacing w:before="100" w:beforeAutospacing="1" w:after="100" w:afterAutospacing="1"/>
      </w:pPr>
      <w:r>
        <w:t>Magpies, chickens, dogs and crows are all seen either feeding from or trying to eat the dangerous waste. The rules on storing these materials are clear. &gt;&gt;</w:t>
      </w:r>
    </w:p>
    <w:p w14:paraId="6E76ED57" w14:textId="77777777" w:rsidR="00433727" w:rsidRPr="00433727" w:rsidRDefault="00433727" w:rsidP="00433727">
      <w:pPr>
        <w:spacing w:before="100" w:beforeAutospacing="1" w:after="100" w:afterAutospacing="1"/>
      </w:pPr>
      <w:r>
        <w:t>To quote a report on this very subject: “</w:t>
      </w:r>
      <w:r w:rsidRPr="00433727">
        <w:t>Hounds are displayed at several hundred events</w:t>
      </w:r>
      <w:r>
        <w:t xml:space="preserve"> </w:t>
      </w:r>
      <w:r w:rsidRPr="00433727">
        <w:t>a year where they have direct and indirect contact</w:t>
      </w:r>
      <w:r>
        <w:t xml:space="preserve"> </w:t>
      </w:r>
      <w:r w:rsidRPr="00433727">
        <w:t>with other packs of hounds, livestock, and members</w:t>
      </w:r>
      <w:r>
        <w:t xml:space="preserve"> </w:t>
      </w:r>
      <w:r w:rsidRPr="00433727">
        <w:t>of the public. While strict biosecurity rules apply</w:t>
      </w:r>
      <w:r>
        <w:t xml:space="preserve"> </w:t>
      </w:r>
      <w:r w:rsidRPr="00433727">
        <w:t>to livestock displayed at shows, and farmers are</w:t>
      </w:r>
      <w:r>
        <w:t xml:space="preserve"> </w:t>
      </w:r>
      <w:r w:rsidRPr="00433727">
        <w:t>advised to quarantine stock returning from a show,</w:t>
      </w:r>
      <w:r>
        <w:t xml:space="preserve"> </w:t>
      </w:r>
      <w:r w:rsidRPr="00433727">
        <w:t>no such regulations apply to packs of hounds.</w:t>
      </w:r>
    </w:p>
    <w:p w14:paraId="637C1F5C" w14:textId="77777777" w:rsidR="00433727" w:rsidRPr="00433727" w:rsidRDefault="00433727" w:rsidP="00433727">
      <w:pPr>
        <w:autoSpaceDE w:val="0"/>
        <w:autoSpaceDN w:val="0"/>
        <w:adjustRightInd w:val="0"/>
        <w:spacing w:after="0" w:line="240" w:lineRule="auto"/>
      </w:pPr>
      <w:r w:rsidRPr="00433727">
        <w:t>While there are benefits of human/animal contacts</w:t>
      </w:r>
      <w:r>
        <w:t xml:space="preserve"> </w:t>
      </w:r>
      <w:r w:rsidRPr="00433727">
        <w:t>at such shows, there are significant risks of disease</w:t>
      </w:r>
      <w:r>
        <w:t xml:space="preserve"> </w:t>
      </w:r>
      <w:r w:rsidRPr="00433727">
        <w:t>transmission, especially to children because of their</w:t>
      </w:r>
      <w:r>
        <w:t xml:space="preserve"> </w:t>
      </w:r>
      <w:r w:rsidRPr="00433727">
        <w:t>immature immune systems and poor standards of</w:t>
      </w:r>
      <w:r>
        <w:t xml:space="preserve"> </w:t>
      </w:r>
      <w:r w:rsidRPr="00433727">
        <w:t>hygiene</w:t>
      </w:r>
      <w:r>
        <w:t xml:space="preserve">… </w:t>
      </w:r>
      <w:r w:rsidRPr="00433727">
        <w:t>The risks</w:t>
      </w:r>
      <w:r>
        <w:t xml:space="preserve"> </w:t>
      </w:r>
      <w:r w:rsidRPr="00433727">
        <w:t>are heightened for hounds routinely fed raw flesh and</w:t>
      </w:r>
      <w:r>
        <w:t xml:space="preserve"> </w:t>
      </w:r>
      <w:r w:rsidRPr="00433727">
        <w:t>offal from fallen stock, and a number of studies have</w:t>
      </w:r>
      <w:r>
        <w:t xml:space="preserve"> </w:t>
      </w:r>
      <w:r w:rsidRPr="00433727">
        <w:t>shown that this is associated with high worm burdens</w:t>
      </w:r>
    </w:p>
    <w:p w14:paraId="2BCBF6E6" w14:textId="77777777" w:rsidR="00433727" w:rsidRDefault="00433727" w:rsidP="004E0598">
      <w:pPr>
        <w:autoSpaceDE w:val="0"/>
        <w:autoSpaceDN w:val="0"/>
        <w:adjustRightInd w:val="0"/>
        <w:spacing w:after="0" w:line="240" w:lineRule="auto"/>
      </w:pPr>
      <w:r w:rsidRPr="00433727">
        <w:t>in hounds. A wide range of pathogens have also been</w:t>
      </w:r>
      <w:r>
        <w:t xml:space="preserve"> </w:t>
      </w:r>
      <w:r w:rsidRPr="00433727">
        <w:t>recorded in British hounds, including notifiable diseases.</w:t>
      </w:r>
      <w:r w:rsidR="004E0598">
        <w:t xml:space="preserve"> </w:t>
      </w:r>
      <w:r w:rsidRPr="00433727">
        <w:t>Similar problems with maintaining and spreading parasites</w:t>
      </w:r>
      <w:r>
        <w:rPr>
          <w:rStyle w:val="FootnoteReference"/>
        </w:rPr>
        <w:footnoteReference w:id="2"/>
      </w:r>
      <w:r>
        <w:t>”</w:t>
      </w:r>
    </w:p>
    <w:p w14:paraId="4ACB8D4D" w14:textId="77777777" w:rsidR="000C59A4" w:rsidRDefault="000C59A4" w:rsidP="008757B9"/>
    <w:p w14:paraId="7DF8A234" w14:textId="77777777" w:rsidR="000C59A4" w:rsidRDefault="000C59A4" w:rsidP="008757B9">
      <w:r>
        <w:rPr>
          <w:b/>
        </w:rPr>
        <w:t>Street Collection</w:t>
      </w:r>
    </w:p>
    <w:p w14:paraId="46739FEC" w14:textId="13D44110" w:rsidR="000C59A4" w:rsidRDefault="005B4470" w:rsidP="008757B9">
      <w:r>
        <w:t xml:space="preserve">A breach of the regulations is a criminal offence, and a person found guilty is liable to a fine.  </w:t>
      </w:r>
      <w:proofErr w:type="gramStart"/>
      <w:r>
        <w:t>Generally</w:t>
      </w:r>
      <w:proofErr w:type="gramEnd"/>
      <w:r>
        <w:t xml:space="preserve"> whilst collecting</w:t>
      </w:r>
      <w:r w:rsidR="00151548" w:rsidRPr="002F015B">
        <w:t>,</w:t>
      </w:r>
      <w:r>
        <w:t xml:space="preserve"> a collector should remain stationary, collecting boxes should be numbered, and securely close and sealed.</w:t>
      </w:r>
    </w:p>
    <w:p w14:paraId="5CCB0476" w14:textId="11C71D2B" w:rsidR="005B4470" w:rsidRDefault="005B4470" w:rsidP="008757B9">
      <w:r>
        <w:t>At the meet on the 27</w:t>
      </w:r>
      <w:r w:rsidRPr="005B4470">
        <w:rPr>
          <w:vertAlign w:val="superscript"/>
        </w:rPr>
        <w:t>th</w:t>
      </w:r>
      <w:r>
        <w:t xml:space="preserve"> hunt representatives were walking round rattling buckets that were clearly labelled ‘</w:t>
      </w:r>
      <w:proofErr w:type="spellStart"/>
      <w:r w:rsidR="002F015B">
        <w:t>Xxx</w:t>
      </w:r>
      <w:proofErr w:type="spellEnd"/>
      <w:r>
        <w:t>’.  When challenged they started then saying the collection was for the ‘old folks’ home.’</w:t>
      </w:r>
    </w:p>
    <w:p w14:paraId="73771A00" w14:textId="77777777" w:rsidR="005B4470" w:rsidRPr="005B4470" w:rsidRDefault="005B4470" w:rsidP="008757B9">
      <w:r>
        <w:t>The response to the Freedom of Information Request was that no licence for a street collection had been applied for.</w:t>
      </w:r>
    </w:p>
    <w:p w14:paraId="3B2D6ADC" w14:textId="77777777" w:rsidR="000C59A4" w:rsidRDefault="000C59A4" w:rsidP="008757B9"/>
    <w:p w14:paraId="5869534F" w14:textId="77777777" w:rsidR="000C59A4" w:rsidRDefault="000C59A4" w:rsidP="008757B9">
      <w:r>
        <w:rPr>
          <w:b/>
        </w:rPr>
        <w:lastRenderedPageBreak/>
        <w:t>Other</w:t>
      </w:r>
    </w:p>
    <w:p w14:paraId="5BADF249" w14:textId="07387CA2" w:rsidR="005B4470" w:rsidRPr="005B4470" w:rsidRDefault="005B4470" w:rsidP="008757B9">
      <w:pPr>
        <w:rPr>
          <w:i/>
        </w:rPr>
      </w:pPr>
      <w:r>
        <w:t xml:space="preserve">We were informed on the day by a local councillor (not an </w:t>
      </w:r>
      <w:r w:rsidR="002F015B">
        <w:t xml:space="preserve">XXX </w:t>
      </w:r>
      <w:r>
        <w:t xml:space="preserve">Town Councillor) that there is a bylaw prohibiting the consumption of alcohol in public in </w:t>
      </w:r>
      <w:r w:rsidR="002F015B">
        <w:t xml:space="preserve">XXX </w:t>
      </w:r>
      <w:r>
        <w:t xml:space="preserve">Market Place however alcohol was being served to riders and others.  Riders were also seen drinking from hip flask – it is worth pointing out here that under the licensing act 1972 </w:t>
      </w:r>
      <w:r>
        <w:rPr>
          <w:i/>
        </w:rPr>
        <w:t>riding a horse under the influence of alcohol is a criminal offence.</w:t>
      </w:r>
    </w:p>
    <w:p w14:paraId="3B34CCA3" w14:textId="77777777" w:rsidR="000C59A4" w:rsidRDefault="000C59A4" w:rsidP="008757B9">
      <w:pPr>
        <w:rPr>
          <w:b/>
          <w:i/>
        </w:rPr>
      </w:pPr>
      <w:r>
        <w:rPr>
          <w:b/>
        </w:rPr>
        <w:t>Conclusion</w:t>
      </w:r>
    </w:p>
    <w:p w14:paraId="739B5530" w14:textId="52B21E98" w:rsidR="008332B2" w:rsidRDefault="008332B2" w:rsidP="008757B9">
      <w:r>
        <w:t xml:space="preserve">In the lead up to the Boxing Day Meet we warned councils that the hunt would not be applying for road closures and that they would be breaking the law.  This is exactly what happened.  The Freedom of Information responses have shown that numerous examples of law breaking by the hunt.  This begs the question as to how they get away with blatant law breaking, ignoring the rules and regulations by which </w:t>
      </w:r>
      <w:proofErr w:type="gramStart"/>
      <w:r>
        <w:t>other</w:t>
      </w:r>
      <w:proofErr w:type="gramEnd"/>
      <w:r>
        <w:t xml:space="preserve"> organisation have to abide.</w:t>
      </w:r>
    </w:p>
    <w:p w14:paraId="292019AF" w14:textId="53330BD3" w:rsidR="00FA243D" w:rsidRDefault="00FA243D" w:rsidP="008757B9">
      <w:r>
        <w:t>This event could very easily be held on private land where the public is not put at risk and where they are not able to flout the laws with impunity.</w:t>
      </w:r>
      <w:r w:rsidR="008F42E3">
        <w:t xml:space="preserve"> </w:t>
      </w:r>
      <w:r w:rsidR="008F42E3" w:rsidRPr="002F015B">
        <w:t>It’s also less likely to be protested</w:t>
      </w:r>
    </w:p>
    <w:p w14:paraId="4F86232B" w14:textId="77777777" w:rsidR="00E27B88" w:rsidRDefault="00E27B88" w:rsidP="008757B9">
      <w:r>
        <w:t>Inaction by the councils is regarded as explicit support by the hunt but some councils are starting to recognise that perceived relationships with and support for the hunts are toxic.  Indeed some police forces are now classing the hunts as ‘Organised Criminal Gangs’ (OCGs).</w:t>
      </w:r>
    </w:p>
    <w:p w14:paraId="6800053B" w14:textId="6539894B" w:rsidR="00FA243D" w:rsidRDefault="00E27B88" w:rsidP="008757B9">
      <w:r>
        <w:t>A number of councils across the country, for example Grantham, &lt;&lt;</w:t>
      </w:r>
      <w:r>
        <w:rPr>
          <w:i/>
        </w:rPr>
        <w:t xml:space="preserve">need to add more in here&gt;&gt; </w:t>
      </w:r>
      <w:r>
        <w:t>among others are taking steps to</w:t>
      </w:r>
      <w:r w:rsidR="00FA243D">
        <w:t xml:space="preserve"> contact the hunt and inform them that they will NOT be permitted to hold their Boxing Day Meet in the town and that they should instead meet on private land.</w:t>
      </w:r>
      <w:r>
        <w:t xml:space="preserve">  We strongly and respectfully urge </w:t>
      </w:r>
      <w:r w:rsidR="002F015B">
        <w:t xml:space="preserve">XXX </w:t>
      </w:r>
      <w:r>
        <w:t>Town Council to join them in this.</w:t>
      </w:r>
    </w:p>
    <w:p w14:paraId="63D595C1" w14:textId="77777777" w:rsidR="00FA243D" w:rsidRDefault="00FA243D" w:rsidP="008757B9">
      <w:r>
        <w:t>Thank you for your attention</w:t>
      </w:r>
    </w:p>
    <w:p w14:paraId="13DEE77B" w14:textId="77777777" w:rsidR="00FA243D" w:rsidRPr="008332B2" w:rsidRDefault="00FA243D" w:rsidP="008757B9"/>
    <w:p w14:paraId="69630F68" w14:textId="77777777" w:rsidR="000C59A4" w:rsidRPr="000C59A4" w:rsidRDefault="000C59A4" w:rsidP="008757B9"/>
    <w:sectPr w:rsidR="000C59A4" w:rsidRPr="000C59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E5D62" w14:textId="77777777" w:rsidR="00A9645F" w:rsidRDefault="00A9645F" w:rsidP="00433727">
      <w:pPr>
        <w:spacing w:after="0" w:line="240" w:lineRule="auto"/>
      </w:pPr>
      <w:r>
        <w:separator/>
      </w:r>
    </w:p>
  </w:endnote>
  <w:endnote w:type="continuationSeparator" w:id="0">
    <w:p w14:paraId="7A41583B" w14:textId="77777777" w:rsidR="00A9645F" w:rsidRDefault="00A9645F" w:rsidP="0043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6447" w14:textId="77777777" w:rsidR="00A9645F" w:rsidRDefault="00A9645F" w:rsidP="00433727">
      <w:pPr>
        <w:spacing w:after="0" w:line="240" w:lineRule="auto"/>
      </w:pPr>
      <w:r>
        <w:separator/>
      </w:r>
    </w:p>
  </w:footnote>
  <w:footnote w:type="continuationSeparator" w:id="0">
    <w:p w14:paraId="7F0A353A" w14:textId="77777777" w:rsidR="00A9645F" w:rsidRDefault="00A9645F" w:rsidP="00433727">
      <w:pPr>
        <w:spacing w:after="0" w:line="240" w:lineRule="auto"/>
      </w:pPr>
      <w:r>
        <w:continuationSeparator/>
      </w:r>
    </w:p>
  </w:footnote>
  <w:footnote w:id="1">
    <w:p w14:paraId="59F8290C" w14:textId="77777777" w:rsidR="00143282" w:rsidRDefault="00143282" w:rsidP="00143282">
      <w:pPr>
        <w:pStyle w:val="FootnoteText"/>
      </w:pPr>
      <w:r>
        <w:rPr>
          <w:rStyle w:val="FootnoteReference"/>
        </w:rPr>
        <w:footnoteRef/>
      </w:r>
      <w:r>
        <w:t xml:space="preserve"> England and Wales </w:t>
      </w:r>
      <w:r w:rsidRPr="00AD6C66">
        <w:rPr>
          <w:b/>
          <w:bCs/>
          <w:sz w:val="22"/>
          <w:szCs w:val="22"/>
        </w:rPr>
        <w:t xml:space="preserve">13365420, </w:t>
      </w:r>
      <w:r w:rsidRPr="00AD6C66">
        <w:rPr>
          <w:sz w:val="22"/>
          <w:szCs w:val="22"/>
        </w:rPr>
        <w:t xml:space="preserve">The Gatehouse Market </w:t>
      </w:r>
      <w:proofErr w:type="spellStart"/>
      <w:r w:rsidRPr="00AD6C66">
        <w:rPr>
          <w:sz w:val="22"/>
          <w:szCs w:val="22"/>
        </w:rPr>
        <w:t>Weighton</w:t>
      </w:r>
      <w:proofErr w:type="spellEnd"/>
      <w:r w:rsidRPr="00AD6C66">
        <w:rPr>
          <w:sz w:val="22"/>
          <w:szCs w:val="22"/>
        </w:rPr>
        <w:t xml:space="preserve"> Road, North Duffield, Selby, North Yorkshire, YO8 5DB</w:t>
      </w:r>
    </w:p>
  </w:footnote>
  <w:footnote w:id="2">
    <w:p w14:paraId="204B9517" w14:textId="77777777" w:rsidR="00433727" w:rsidRPr="00433727" w:rsidRDefault="00433727">
      <w:pPr>
        <w:pStyle w:val="FootnoteText"/>
        <w:rPr>
          <w:i/>
        </w:rPr>
      </w:pPr>
      <w:r>
        <w:rPr>
          <w:rStyle w:val="FootnoteReference"/>
        </w:rPr>
        <w:footnoteRef/>
      </w:r>
      <w:r>
        <w:t xml:space="preserve"> Harris S. &amp; </w:t>
      </w:r>
      <w:proofErr w:type="spellStart"/>
      <w:r>
        <w:t>Dorning</w:t>
      </w:r>
      <w:proofErr w:type="spellEnd"/>
      <w:r>
        <w:t xml:space="preserve"> J. (2017).  </w:t>
      </w:r>
      <w:r>
        <w:rPr>
          <w:i/>
        </w:rPr>
        <w:t>Hunting with hounds and the spread of disease.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6251C"/>
    <w:multiLevelType w:val="hybridMultilevel"/>
    <w:tmpl w:val="376EF8E0"/>
    <w:lvl w:ilvl="0" w:tplc="CF36F0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1D7A70"/>
    <w:multiLevelType w:val="hybridMultilevel"/>
    <w:tmpl w:val="755A6FFC"/>
    <w:lvl w:ilvl="0" w:tplc="DEF610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F96EFC"/>
    <w:multiLevelType w:val="hybridMultilevel"/>
    <w:tmpl w:val="3B5803EA"/>
    <w:lvl w:ilvl="0" w:tplc="A2EEF7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906080">
    <w:abstractNumId w:val="1"/>
  </w:num>
  <w:num w:numId="2" w16cid:durableId="753934191">
    <w:abstractNumId w:val="0"/>
  </w:num>
  <w:num w:numId="3" w16cid:durableId="1684938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E3"/>
    <w:rsid w:val="000872C2"/>
    <w:rsid w:val="000C59A4"/>
    <w:rsid w:val="000E2119"/>
    <w:rsid w:val="00125CF9"/>
    <w:rsid w:val="00143282"/>
    <w:rsid w:val="00151548"/>
    <w:rsid w:val="00211D4D"/>
    <w:rsid w:val="002600C0"/>
    <w:rsid w:val="002F015B"/>
    <w:rsid w:val="002F31A7"/>
    <w:rsid w:val="00372C11"/>
    <w:rsid w:val="003B0F82"/>
    <w:rsid w:val="003C1B5F"/>
    <w:rsid w:val="004319A6"/>
    <w:rsid w:val="00433727"/>
    <w:rsid w:val="004E0598"/>
    <w:rsid w:val="00566015"/>
    <w:rsid w:val="005B4470"/>
    <w:rsid w:val="00660DD4"/>
    <w:rsid w:val="006A30E8"/>
    <w:rsid w:val="006E77E0"/>
    <w:rsid w:val="007974F4"/>
    <w:rsid w:val="008332B2"/>
    <w:rsid w:val="00866851"/>
    <w:rsid w:val="008757B9"/>
    <w:rsid w:val="008F42E3"/>
    <w:rsid w:val="00954787"/>
    <w:rsid w:val="00A9645F"/>
    <w:rsid w:val="00AD6C66"/>
    <w:rsid w:val="00D01FE3"/>
    <w:rsid w:val="00D02CF5"/>
    <w:rsid w:val="00E27B88"/>
    <w:rsid w:val="00E62EE0"/>
    <w:rsid w:val="00EF51DF"/>
    <w:rsid w:val="00FA2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265C"/>
  <w15:chartTrackingRefBased/>
  <w15:docId w15:val="{EC28A162-D813-4CE9-8EE5-C26BE35A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DF"/>
    <w:pPr>
      <w:ind w:left="720"/>
      <w:contextualSpacing/>
    </w:pPr>
  </w:style>
  <w:style w:type="paragraph" w:styleId="NormalWeb">
    <w:name w:val="Normal (Web)"/>
    <w:basedOn w:val="Normal"/>
    <w:uiPriority w:val="99"/>
    <w:semiHidden/>
    <w:unhideWhenUsed/>
    <w:rsid w:val="009547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D6C66"/>
    <w:rPr>
      <w:b/>
      <w:bCs/>
    </w:rPr>
  </w:style>
  <w:style w:type="paragraph" w:styleId="FootnoteText">
    <w:name w:val="footnote text"/>
    <w:basedOn w:val="Normal"/>
    <w:link w:val="FootnoteTextChar"/>
    <w:uiPriority w:val="99"/>
    <w:semiHidden/>
    <w:unhideWhenUsed/>
    <w:rsid w:val="00433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3727"/>
    <w:rPr>
      <w:sz w:val="20"/>
      <w:szCs w:val="20"/>
    </w:rPr>
  </w:style>
  <w:style w:type="character" w:styleId="FootnoteReference">
    <w:name w:val="footnote reference"/>
    <w:basedOn w:val="DefaultParagraphFont"/>
    <w:uiPriority w:val="99"/>
    <w:semiHidden/>
    <w:unhideWhenUsed/>
    <w:rsid w:val="004337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4018">
      <w:bodyDiv w:val="1"/>
      <w:marLeft w:val="0"/>
      <w:marRight w:val="0"/>
      <w:marTop w:val="0"/>
      <w:marBottom w:val="0"/>
      <w:divBdr>
        <w:top w:val="none" w:sz="0" w:space="0" w:color="auto"/>
        <w:left w:val="none" w:sz="0" w:space="0" w:color="auto"/>
        <w:bottom w:val="none" w:sz="0" w:space="0" w:color="auto"/>
        <w:right w:val="none" w:sz="0" w:space="0" w:color="auto"/>
      </w:divBdr>
      <w:divsChild>
        <w:div w:id="1751082277">
          <w:marLeft w:val="0"/>
          <w:marRight w:val="0"/>
          <w:marTop w:val="0"/>
          <w:marBottom w:val="0"/>
          <w:divBdr>
            <w:top w:val="none" w:sz="0" w:space="0" w:color="auto"/>
            <w:left w:val="none" w:sz="0" w:space="0" w:color="auto"/>
            <w:bottom w:val="none" w:sz="0" w:space="0" w:color="auto"/>
            <w:right w:val="none" w:sz="0" w:space="0" w:color="auto"/>
          </w:divBdr>
        </w:div>
        <w:div w:id="1894392233">
          <w:marLeft w:val="0"/>
          <w:marRight w:val="0"/>
          <w:marTop w:val="0"/>
          <w:marBottom w:val="0"/>
          <w:divBdr>
            <w:top w:val="none" w:sz="0" w:space="0" w:color="auto"/>
            <w:left w:val="none" w:sz="0" w:space="0" w:color="auto"/>
            <w:bottom w:val="none" w:sz="0" w:space="0" w:color="auto"/>
            <w:right w:val="none" w:sz="0" w:space="0" w:color="auto"/>
          </w:divBdr>
        </w:div>
        <w:div w:id="1692490622">
          <w:marLeft w:val="0"/>
          <w:marRight w:val="0"/>
          <w:marTop w:val="0"/>
          <w:marBottom w:val="0"/>
          <w:divBdr>
            <w:top w:val="none" w:sz="0" w:space="0" w:color="auto"/>
            <w:left w:val="none" w:sz="0" w:space="0" w:color="auto"/>
            <w:bottom w:val="none" w:sz="0" w:space="0" w:color="auto"/>
            <w:right w:val="none" w:sz="0" w:space="0" w:color="auto"/>
          </w:divBdr>
        </w:div>
        <w:div w:id="449209981">
          <w:marLeft w:val="0"/>
          <w:marRight w:val="0"/>
          <w:marTop w:val="0"/>
          <w:marBottom w:val="0"/>
          <w:divBdr>
            <w:top w:val="none" w:sz="0" w:space="0" w:color="auto"/>
            <w:left w:val="none" w:sz="0" w:space="0" w:color="auto"/>
            <w:bottom w:val="none" w:sz="0" w:space="0" w:color="auto"/>
            <w:right w:val="none" w:sz="0" w:space="0" w:color="auto"/>
          </w:divBdr>
        </w:div>
        <w:div w:id="2123842499">
          <w:marLeft w:val="0"/>
          <w:marRight w:val="0"/>
          <w:marTop w:val="0"/>
          <w:marBottom w:val="0"/>
          <w:divBdr>
            <w:top w:val="none" w:sz="0" w:space="0" w:color="auto"/>
            <w:left w:val="none" w:sz="0" w:space="0" w:color="auto"/>
            <w:bottom w:val="none" w:sz="0" w:space="0" w:color="auto"/>
            <w:right w:val="none" w:sz="0" w:space="0" w:color="auto"/>
          </w:divBdr>
        </w:div>
        <w:div w:id="537663373">
          <w:marLeft w:val="0"/>
          <w:marRight w:val="0"/>
          <w:marTop w:val="0"/>
          <w:marBottom w:val="0"/>
          <w:divBdr>
            <w:top w:val="none" w:sz="0" w:space="0" w:color="auto"/>
            <w:left w:val="none" w:sz="0" w:space="0" w:color="auto"/>
            <w:bottom w:val="none" w:sz="0" w:space="0" w:color="auto"/>
            <w:right w:val="none" w:sz="0" w:space="0" w:color="auto"/>
          </w:divBdr>
        </w:div>
        <w:div w:id="2055039602">
          <w:marLeft w:val="0"/>
          <w:marRight w:val="0"/>
          <w:marTop w:val="0"/>
          <w:marBottom w:val="0"/>
          <w:divBdr>
            <w:top w:val="none" w:sz="0" w:space="0" w:color="auto"/>
            <w:left w:val="none" w:sz="0" w:space="0" w:color="auto"/>
            <w:bottom w:val="none" w:sz="0" w:space="0" w:color="auto"/>
            <w:right w:val="none" w:sz="0" w:space="0" w:color="auto"/>
          </w:divBdr>
        </w:div>
        <w:div w:id="1009870500">
          <w:marLeft w:val="0"/>
          <w:marRight w:val="0"/>
          <w:marTop w:val="0"/>
          <w:marBottom w:val="0"/>
          <w:divBdr>
            <w:top w:val="none" w:sz="0" w:space="0" w:color="auto"/>
            <w:left w:val="none" w:sz="0" w:space="0" w:color="auto"/>
            <w:bottom w:val="none" w:sz="0" w:space="0" w:color="auto"/>
            <w:right w:val="none" w:sz="0" w:space="0" w:color="auto"/>
          </w:divBdr>
        </w:div>
        <w:div w:id="1399665515">
          <w:marLeft w:val="0"/>
          <w:marRight w:val="0"/>
          <w:marTop w:val="0"/>
          <w:marBottom w:val="0"/>
          <w:divBdr>
            <w:top w:val="none" w:sz="0" w:space="0" w:color="auto"/>
            <w:left w:val="none" w:sz="0" w:space="0" w:color="auto"/>
            <w:bottom w:val="none" w:sz="0" w:space="0" w:color="auto"/>
            <w:right w:val="none" w:sz="0" w:space="0" w:color="auto"/>
          </w:divBdr>
        </w:div>
        <w:div w:id="530148870">
          <w:marLeft w:val="0"/>
          <w:marRight w:val="0"/>
          <w:marTop w:val="0"/>
          <w:marBottom w:val="0"/>
          <w:divBdr>
            <w:top w:val="none" w:sz="0" w:space="0" w:color="auto"/>
            <w:left w:val="none" w:sz="0" w:space="0" w:color="auto"/>
            <w:bottom w:val="none" w:sz="0" w:space="0" w:color="auto"/>
            <w:right w:val="none" w:sz="0" w:space="0" w:color="auto"/>
          </w:divBdr>
        </w:div>
        <w:div w:id="320081326">
          <w:marLeft w:val="0"/>
          <w:marRight w:val="0"/>
          <w:marTop w:val="0"/>
          <w:marBottom w:val="0"/>
          <w:divBdr>
            <w:top w:val="none" w:sz="0" w:space="0" w:color="auto"/>
            <w:left w:val="none" w:sz="0" w:space="0" w:color="auto"/>
            <w:bottom w:val="none" w:sz="0" w:space="0" w:color="auto"/>
            <w:right w:val="none" w:sz="0" w:space="0" w:color="auto"/>
          </w:divBdr>
        </w:div>
        <w:div w:id="1208764580">
          <w:marLeft w:val="0"/>
          <w:marRight w:val="0"/>
          <w:marTop w:val="0"/>
          <w:marBottom w:val="0"/>
          <w:divBdr>
            <w:top w:val="none" w:sz="0" w:space="0" w:color="auto"/>
            <w:left w:val="none" w:sz="0" w:space="0" w:color="auto"/>
            <w:bottom w:val="none" w:sz="0" w:space="0" w:color="auto"/>
            <w:right w:val="none" w:sz="0" w:space="0" w:color="auto"/>
          </w:divBdr>
        </w:div>
        <w:div w:id="1673144797">
          <w:marLeft w:val="0"/>
          <w:marRight w:val="0"/>
          <w:marTop w:val="0"/>
          <w:marBottom w:val="0"/>
          <w:divBdr>
            <w:top w:val="none" w:sz="0" w:space="0" w:color="auto"/>
            <w:left w:val="none" w:sz="0" w:space="0" w:color="auto"/>
            <w:bottom w:val="none" w:sz="0" w:space="0" w:color="auto"/>
            <w:right w:val="none" w:sz="0" w:space="0" w:color="auto"/>
          </w:divBdr>
        </w:div>
        <w:div w:id="151915010">
          <w:marLeft w:val="0"/>
          <w:marRight w:val="0"/>
          <w:marTop w:val="0"/>
          <w:marBottom w:val="0"/>
          <w:divBdr>
            <w:top w:val="none" w:sz="0" w:space="0" w:color="auto"/>
            <w:left w:val="none" w:sz="0" w:space="0" w:color="auto"/>
            <w:bottom w:val="none" w:sz="0" w:space="0" w:color="auto"/>
            <w:right w:val="none" w:sz="0" w:space="0" w:color="auto"/>
          </w:divBdr>
        </w:div>
        <w:div w:id="1958369184">
          <w:marLeft w:val="0"/>
          <w:marRight w:val="0"/>
          <w:marTop w:val="0"/>
          <w:marBottom w:val="0"/>
          <w:divBdr>
            <w:top w:val="none" w:sz="0" w:space="0" w:color="auto"/>
            <w:left w:val="none" w:sz="0" w:space="0" w:color="auto"/>
            <w:bottom w:val="none" w:sz="0" w:space="0" w:color="auto"/>
            <w:right w:val="none" w:sz="0" w:space="0" w:color="auto"/>
          </w:divBdr>
        </w:div>
        <w:div w:id="1169834754">
          <w:marLeft w:val="0"/>
          <w:marRight w:val="0"/>
          <w:marTop w:val="0"/>
          <w:marBottom w:val="0"/>
          <w:divBdr>
            <w:top w:val="none" w:sz="0" w:space="0" w:color="auto"/>
            <w:left w:val="none" w:sz="0" w:space="0" w:color="auto"/>
            <w:bottom w:val="none" w:sz="0" w:space="0" w:color="auto"/>
            <w:right w:val="none" w:sz="0" w:space="0" w:color="auto"/>
          </w:divBdr>
        </w:div>
        <w:div w:id="766732389">
          <w:marLeft w:val="0"/>
          <w:marRight w:val="0"/>
          <w:marTop w:val="0"/>
          <w:marBottom w:val="0"/>
          <w:divBdr>
            <w:top w:val="none" w:sz="0" w:space="0" w:color="auto"/>
            <w:left w:val="none" w:sz="0" w:space="0" w:color="auto"/>
            <w:bottom w:val="none" w:sz="0" w:space="0" w:color="auto"/>
            <w:right w:val="none" w:sz="0" w:space="0" w:color="auto"/>
          </w:divBdr>
        </w:div>
        <w:div w:id="524559572">
          <w:marLeft w:val="0"/>
          <w:marRight w:val="0"/>
          <w:marTop w:val="0"/>
          <w:marBottom w:val="0"/>
          <w:divBdr>
            <w:top w:val="none" w:sz="0" w:space="0" w:color="auto"/>
            <w:left w:val="none" w:sz="0" w:space="0" w:color="auto"/>
            <w:bottom w:val="none" w:sz="0" w:space="0" w:color="auto"/>
            <w:right w:val="none" w:sz="0" w:space="0" w:color="auto"/>
          </w:divBdr>
        </w:div>
        <w:div w:id="2086415000">
          <w:marLeft w:val="0"/>
          <w:marRight w:val="0"/>
          <w:marTop w:val="0"/>
          <w:marBottom w:val="0"/>
          <w:divBdr>
            <w:top w:val="none" w:sz="0" w:space="0" w:color="auto"/>
            <w:left w:val="none" w:sz="0" w:space="0" w:color="auto"/>
            <w:bottom w:val="none" w:sz="0" w:space="0" w:color="auto"/>
            <w:right w:val="none" w:sz="0" w:space="0" w:color="auto"/>
          </w:divBdr>
        </w:div>
        <w:div w:id="421801535">
          <w:marLeft w:val="0"/>
          <w:marRight w:val="0"/>
          <w:marTop w:val="0"/>
          <w:marBottom w:val="0"/>
          <w:divBdr>
            <w:top w:val="none" w:sz="0" w:space="0" w:color="auto"/>
            <w:left w:val="none" w:sz="0" w:space="0" w:color="auto"/>
            <w:bottom w:val="none" w:sz="0" w:space="0" w:color="auto"/>
            <w:right w:val="none" w:sz="0" w:space="0" w:color="auto"/>
          </w:divBdr>
        </w:div>
        <w:div w:id="1327244903">
          <w:marLeft w:val="0"/>
          <w:marRight w:val="0"/>
          <w:marTop w:val="0"/>
          <w:marBottom w:val="0"/>
          <w:divBdr>
            <w:top w:val="none" w:sz="0" w:space="0" w:color="auto"/>
            <w:left w:val="none" w:sz="0" w:space="0" w:color="auto"/>
            <w:bottom w:val="none" w:sz="0" w:space="0" w:color="auto"/>
            <w:right w:val="none" w:sz="0" w:space="0" w:color="auto"/>
          </w:divBdr>
        </w:div>
        <w:div w:id="1541436234">
          <w:marLeft w:val="0"/>
          <w:marRight w:val="0"/>
          <w:marTop w:val="0"/>
          <w:marBottom w:val="0"/>
          <w:divBdr>
            <w:top w:val="none" w:sz="0" w:space="0" w:color="auto"/>
            <w:left w:val="none" w:sz="0" w:space="0" w:color="auto"/>
            <w:bottom w:val="none" w:sz="0" w:space="0" w:color="auto"/>
            <w:right w:val="none" w:sz="0" w:space="0" w:color="auto"/>
          </w:divBdr>
        </w:div>
        <w:div w:id="2049184839">
          <w:marLeft w:val="0"/>
          <w:marRight w:val="0"/>
          <w:marTop w:val="0"/>
          <w:marBottom w:val="0"/>
          <w:divBdr>
            <w:top w:val="none" w:sz="0" w:space="0" w:color="auto"/>
            <w:left w:val="none" w:sz="0" w:space="0" w:color="auto"/>
            <w:bottom w:val="none" w:sz="0" w:space="0" w:color="auto"/>
            <w:right w:val="none" w:sz="0" w:space="0" w:color="auto"/>
          </w:divBdr>
        </w:div>
      </w:divsChild>
    </w:div>
    <w:div w:id="94184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BCDB-5081-4260-BA7C-4F31F9547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2191</Words>
  <Characters>12490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Hildreth</dc:creator>
  <cp:keywords/>
  <dc:description/>
  <cp:lastModifiedBy>Penelope Piper</cp:lastModifiedBy>
  <cp:revision>3</cp:revision>
  <dcterms:created xsi:type="dcterms:W3CDTF">2022-07-26T09:13:00Z</dcterms:created>
  <dcterms:modified xsi:type="dcterms:W3CDTF">2022-07-26T09:18:00Z</dcterms:modified>
</cp:coreProperties>
</file>